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32"/>
          <w:szCs w:val="32"/>
          <w:u w:val="none"/>
          <w:shd w:fill="auto" w:val="clear"/>
          <w:vertAlign w:val="baseline"/>
          <w:rtl w:val="0"/>
        </w:rPr>
        <w:t xml:space="preserve">Los desafíos en empleos mediante plataformas digitales</w:t>
        <w:br w:type="textWrapping"/>
        <w:t xml:space="preserve"> en América Latina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La irrupción del empleo de plataformas digitales (desde las plataformas de servicios de transporte de pasajeros y bienes, al comercio electrónico) puede suponer una oportunidad para aumentar la formalidad en la región.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i w:val="1"/>
          <w:color w:val="767171"/>
          <w:sz w:val="24"/>
          <w:szCs w:val="24"/>
          <w:rtl w:val="0"/>
        </w:rPr>
        <w:t xml:space="preserve">México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, 30 de abril, 2021).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día internacional del trabajo 2021 encuentra a la región con un nuevo tipo de trabajador: el de plataformas digitales. Estos arreglos laborales suponen una oportunidad al permitir un uso más eficiente de los recursos y proveer flexibilidad tanto a las empresas como a los trabajadores. Pero también presentan riesgos, como una mayor volatilidad en los ingresos y el posible deterioro de las condiciones de empleo, particularmente del acceso a la protección social. Adicionalmente, es más probable que los nuevos trabajadores digitales sean cuentapropistas que empleados formales.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pandemia ha acelerado los empleos a través de plataformas digitales en el último año. Sin embargo, con la información de la </w:t>
      </w:r>
      <w:hyperlink r:id="rId6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Encuesta CAF (ECAF) 2019</w:t>
        </w:r>
      </w:hyperlink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realizada en el marco del último </w:t>
      </w:r>
      <w:hyperlink r:id="rId7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Reporte de Economía y Desarrollo</w:t>
        </w:r>
      </w:hyperlink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el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9,4%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los trabajadores de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las principales ciudades de la región declaraba haber prestado un servicio por intermedio de una plataforma en el último mes, mientras que el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6,7%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estaba registrado como proveedor en una plataforma, aunque sin actividad. Esto hace que un total de alrededor del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16%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 fuerza laboral pueda catalogarse como trabajador de plataforma activo o potencial. Las ciudades donde este total es mayor son Ciudad de Panamá (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23%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Bogotá (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20%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y Quito (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19%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igual que ocurre en países avanzados, en América Latina el trabajo de plataformas convive con otras formas de empleo tradicionales y no tradicionales. En algunos casos, se trata de trabajadores con un empleo que obtienen ingresos adicionales por esta vía, mientras que en otros casos son trabajadores independientes o por cuenta propia. Según la ECAF, del total de trabajadores con actividades de plataforma en el último mes, el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60%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son autoempleados, el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27%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son asalariados, el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10%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son empleadores mientras que el restante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3%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completa con trabajadores familiares sin remuneración, miembros de cooperativas y empleados domésticos.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ECAF también evidencia que -en promedio para todas las categorías ocupacionales- el empleo en plataforma constituye una actividad principal en el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41%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los casos, sin embargo, es mayor entre los autoempleados que en el resto de las categorías de empleo; también es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más frecuente entre los hombres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entre las mujeres,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los más jóvenes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los de mayor edad que entre los de edades intermedias, así como entre los de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menor educación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En el contexto de la pandemia del COVID-19, es probable que la incidencia de los empleos de plataforma sea aún mayor a los valores captados por la ECAF en 2019, especialmente entre los autoempleados.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265615" cy="34988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6249" l="36434" r="27771" t="25567"/>
                    <a:stretch>
                      <a:fillRect/>
                    </a:stretch>
                  </pic:blipFill>
                  <pic:spPr>
                    <a:xfrm>
                      <a:off x="0" y="0"/>
                      <a:ext cx="3265615" cy="3498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“El crecimiento reciente del empleo de plataformas hace necesario repensar las instituciones de protección social y adecuarlas a las características del mercado laboral actual. El acceso a los beneficios sociales por parte de los trabajadores de plataforma presenta desafíos similares a los que genera la cobertura del empleo independiente tradicional. En este sentido, la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tecnología podría convertirse en un aliado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facilitar el registro de las actividades y el pago de las obligaciones”, afirma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Guillermo Alves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economista principal de la Dirección de Investigaciones Socioeconómicas de CAF y co-editor del </w:t>
      </w:r>
      <w:hyperlink r:id="rId9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Reporte</w:t>
        </w:r>
      </w:hyperlink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condiciones laborales de este tipo de empleo juegan un rol especial debido a que en algunas ocasiones las horas de trabajo suelen ser prolongadas e imprevisibles. La mitad de los trabajadores de plataformas digitales ganan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menos de dos dólares  por hora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revela un </w:t>
      </w:r>
      <w:hyperlink r:id="rId10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reciente estudio</w:t>
        </w:r>
      </w:hyperlink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 Organización Internacional del Trabajo (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OIT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Entre los desafíos para mejorar la calidad de vida de los trabajadores de plataformas también está la regularidad del trabajo y de los ingresos, la libertad de asociación y de negociación colectiva, entre otros.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plataformas digitales llegaron para quedarse y suman oportunidades laborales, especialmente para los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jóvenes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mientras que a las empresas les permiten acceder a una base de trabajadores amplia, flexible y con calificaciones diversas, además de ampliar su base de clientes. El desafío está en fomentar un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diálogo constructivo entre autoridades, empleadores y trabajadores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definir regulaciones acordes a esta nueva realidad que mejoren la calidad de vida de la población y la competitividad de la región.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CAF -banco de desarrollo de América Latina-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11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-90169</wp:posOffset>
            </wp:positionH>
            <wp:positionV relativeFrom="paragraph">
              <wp:posOffset>95250</wp:posOffset>
            </wp:positionV>
            <wp:extent cx="5648325" cy="285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8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563c1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CAF, Dirección de Comunicación Estratégica, </w:t>
      </w:r>
      <w:hyperlink r:id="rId13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infocaf@caf.com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Encuéntrenos en: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Facebook: </w:t>
      </w:r>
      <w:hyperlink r:id="rId14">
        <w:r w:rsidDel="00000000" w:rsidR="00000000" w:rsidRPr="00000000">
          <w:rPr>
            <w:rFonts w:ascii="Arial Narrow" w:cs="Arial Narrow" w:eastAsia="Arial Narrow" w:hAnsi="Arial Narrow"/>
            <w:color w:val="0563c1"/>
            <w:sz w:val="18"/>
            <w:szCs w:val="18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 / 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Twitter: @AgendaCAF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350957" cy="439118"/>
          <wp:effectExtent b="0" l="0" r="0" t="0"/>
          <wp:docPr descr="C:\Users\MEHERNANDEZ\Desktop\CAF Logo Color Horizontal.png" id="3" name="image3.png"/>
          <a:graphic>
            <a:graphicData uri="http://schemas.openxmlformats.org/drawingml/2006/picture">
              <pic:pic>
                <pic:nvPicPr>
                  <pic:cNvPr descr="C:\Users\MEHERNANDEZ\Desktop\CAF Logo Color Horizontal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0957" cy="4391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419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af.com/" TargetMode="External"/><Relationship Id="rId10" Type="http://schemas.openxmlformats.org/officeDocument/2006/relationships/hyperlink" Target="https://www.ilo.org/global/research/global-reports/weso/2021/WCMS_771675/lang--es/index.htm" TargetMode="External"/><Relationship Id="rId13" Type="http://schemas.openxmlformats.org/officeDocument/2006/relationships/hyperlink" Target="mailto:infocaf@caf.com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ioteca.caf.com/bitstream/handle/123456789/1652/Los%20sistemas%20de%20pensiones%20y%20salud%20en%20Am%c3%a9rica%20Latina.%20Los%20desaf%c3%ados%20del%20envejecimiento%2c%20el%20cambio%20tecnol%c3%b3gico%20y%20la%20informalidad.pdf?sequence=12&amp;isAllowed=y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facebook.com/CAF.America.Latina" TargetMode="External"/><Relationship Id="rId5" Type="http://schemas.openxmlformats.org/officeDocument/2006/relationships/styles" Target="styles.xml"/><Relationship Id="rId6" Type="http://schemas.openxmlformats.org/officeDocument/2006/relationships/hyperlink" Target="https://scioteca.caf.com/handle/123456789/1646" TargetMode="External"/><Relationship Id="rId7" Type="http://schemas.openxmlformats.org/officeDocument/2006/relationships/hyperlink" Target="https://scioteca.caf.com/bitstream/handle/123456789/1652/Los%20sistemas%20de%20pensiones%20y%20salud%20en%20Am%c3%a9rica%20Latina.%20Los%20desaf%c3%ados%20del%20envejecimiento%2c%20el%20cambio%20tecnol%c3%b3gico%20y%20la%20informalidad.pdf?sequence=12&amp;isAllowed=y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